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F38" w:rsidRDefault="00690F38" w:rsidP="00690F38">
      <w:pPr>
        <w:spacing w:after="0" w:line="360" w:lineRule="auto"/>
        <w:jc w:val="right"/>
        <w:rPr>
          <w:rFonts w:ascii="Palatino Linotype" w:hAnsi="Palatino Linotype"/>
          <w:sz w:val="18"/>
        </w:rPr>
      </w:pPr>
      <w:r>
        <w:rPr>
          <w:rFonts w:ascii="Palatino Linotype" w:hAnsi="Palatino Linotype"/>
          <w:sz w:val="18"/>
        </w:rPr>
        <w:t>Załącznik nr 3 do Zapytania Ofertowego</w:t>
      </w:r>
    </w:p>
    <w:p w:rsidR="00690F38" w:rsidRDefault="00690F38" w:rsidP="00690F38">
      <w:pPr>
        <w:spacing w:after="0" w:line="360" w:lineRule="auto"/>
        <w:rPr>
          <w:rFonts w:ascii="Palatino Linotype" w:hAnsi="Palatino Linotype"/>
          <w:sz w:val="18"/>
        </w:rPr>
      </w:pPr>
      <w:r w:rsidRPr="00690F38">
        <w:rPr>
          <w:rFonts w:ascii="Palatino Linotype" w:hAnsi="Palatino Linotype"/>
          <w:sz w:val="18"/>
        </w:rPr>
        <w:t xml:space="preserve">Numer postępowania: </w:t>
      </w:r>
      <w:r w:rsidR="000A658F" w:rsidRPr="00AB2054">
        <w:rPr>
          <w:rFonts w:ascii="Palatino Linotype" w:hAnsi="Palatino Linotype"/>
          <w:sz w:val="18"/>
        </w:rPr>
        <w:t>RDW.K/3221/49</w:t>
      </w:r>
      <w:r w:rsidRPr="00AB2054">
        <w:rPr>
          <w:rFonts w:ascii="Palatino Linotype" w:hAnsi="Palatino Linotype"/>
          <w:sz w:val="18"/>
        </w:rPr>
        <w:t>/DM/5</w:t>
      </w:r>
      <w:r w:rsidR="000A658F" w:rsidRPr="00AB2054">
        <w:rPr>
          <w:rFonts w:ascii="Palatino Linotype" w:hAnsi="Palatino Linotype"/>
          <w:sz w:val="18"/>
        </w:rPr>
        <w:t>4/2019</w:t>
      </w:r>
    </w:p>
    <w:p w:rsidR="00690F38" w:rsidRPr="00690F38" w:rsidRDefault="00690F38" w:rsidP="00690F38">
      <w:pPr>
        <w:spacing w:after="0" w:line="360" w:lineRule="auto"/>
        <w:rPr>
          <w:rFonts w:ascii="Palatino Linotype" w:hAnsi="Palatino Linotype"/>
          <w:sz w:val="18"/>
        </w:rPr>
      </w:pPr>
    </w:p>
    <w:p w:rsidR="00690F38" w:rsidRPr="00690F38" w:rsidRDefault="00690F38" w:rsidP="00690F38">
      <w:pPr>
        <w:spacing w:after="0" w:line="360" w:lineRule="auto"/>
        <w:jc w:val="center"/>
        <w:rPr>
          <w:rFonts w:ascii="Palatino Linotype" w:hAnsi="Palatino Linotype"/>
          <w:b/>
          <w:sz w:val="28"/>
        </w:rPr>
      </w:pPr>
      <w:r w:rsidRPr="00690F38">
        <w:rPr>
          <w:rFonts w:ascii="Palatino Linotype" w:hAnsi="Palatino Linotype"/>
          <w:b/>
          <w:sz w:val="28"/>
        </w:rPr>
        <w:t>Opis Przedmiotu Zamówienia</w:t>
      </w:r>
    </w:p>
    <w:p w:rsidR="00690F38" w:rsidRDefault="00690F38" w:rsidP="00690F38">
      <w:pPr>
        <w:spacing w:after="0" w:line="360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Dwukrotne czyszczenie separatorów i osadników oczyszczających wody opadowe i roztopowe w ciągach dróg wojewódzkich na terenie Rejonu Dróg Wojewódzkich                 w Kętrzynie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1. WSTĘP  </w:t>
      </w:r>
    </w:p>
    <w:p w:rsidR="00871F86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871F86">
        <w:rPr>
          <w:rFonts w:ascii="Palatino Linotype" w:hAnsi="Palatino Linotype"/>
          <w:b/>
        </w:rPr>
        <w:t>1.1. Przedmiot OPZ</w:t>
      </w:r>
      <w:r w:rsidRPr="00690F38">
        <w:rPr>
          <w:rFonts w:ascii="Palatino Linotype" w:hAnsi="Palatino Linotype"/>
        </w:rPr>
        <w:t xml:space="preserve">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Przedmiotem Opisu Przedmiotu Zamówienia są wymagania dotyczące wykonania i odbioru usługi polegającej na czyszczeniu urządzeń podczyszczających wody opadowe i roztopowych w ciągu dróg wojewódzkich na terenie działania Rejonu D</w:t>
      </w:r>
      <w:r>
        <w:rPr>
          <w:rFonts w:ascii="Palatino Linotype" w:hAnsi="Palatino Linotype"/>
        </w:rPr>
        <w:t xml:space="preserve">róg Wojewódzkich w Kętrzynie.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1.2. Zakres stosowania OPZ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Opis Przedmiotu Zamówienia stanowi dokument przetargowy i kontraktowy przy zlecaniu i realizacji u</w:t>
      </w:r>
      <w:r>
        <w:rPr>
          <w:rFonts w:ascii="Palatino Linotype" w:hAnsi="Palatino Linotype"/>
        </w:rPr>
        <w:t xml:space="preserve">sługi wymienionej w pkt. 1.1.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1.3. Zakres usługi objętej OPZ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Ustalenia zawarte w niniejszym opisie dotyczą usługi czyszczenia urządzeń podczyszczających wody opadowe i roztopowe (separatory, osadniki i piaskowniki) wraz z o</w:t>
      </w:r>
      <w:r>
        <w:rPr>
          <w:rFonts w:ascii="Palatino Linotype" w:hAnsi="Palatino Linotype"/>
        </w:rPr>
        <w:t xml:space="preserve">dbiorem, transportem  </w:t>
      </w:r>
      <w:r w:rsidRPr="00690F38">
        <w:rPr>
          <w:rFonts w:ascii="Palatino Linotype" w:hAnsi="Palatino Linotype"/>
        </w:rPr>
        <w:t>i unieszkodliwieniem powstałych w wyniku czyszczenia odpadów, przeglądem eksploatacyjnym tych urządzeń i wpisem do ks</w:t>
      </w:r>
      <w:r>
        <w:rPr>
          <w:rFonts w:ascii="Palatino Linotype" w:hAnsi="Palatino Linotype"/>
        </w:rPr>
        <w:t xml:space="preserve">iążki eksploatacji urządzenia.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  <w:b/>
        </w:rPr>
        <w:t>1.4. Określenia podstawowe</w:t>
      </w:r>
      <w:r w:rsidRPr="00690F38">
        <w:rPr>
          <w:rFonts w:ascii="Palatino Linotype" w:hAnsi="Palatino Linotype"/>
        </w:rPr>
        <w:t xml:space="preserve">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1.4.1. Wody opadowe lub roztopowe – ujęte w otwarte lub zamknięte systemy kanalizacyjne</w:t>
      </w:r>
      <w:r>
        <w:rPr>
          <w:rFonts w:ascii="Palatino Linotype" w:hAnsi="Palatino Linotype"/>
        </w:rPr>
        <w:t xml:space="preserve">, pochodzące  </w:t>
      </w:r>
      <w:r w:rsidRPr="00690F38">
        <w:rPr>
          <w:rFonts w:ascii="Palatino Linotype" w:hAnsi="Palatino Linotype"/>
        </w:rPr>
        <w:t xml:space="preserve">z powierzchni zanieczyszczeń o trwałej nawierzchni, w szczególności z miast, portów, lotnisk, terenów przemysłowych, handlowych, usługowych i składowych, baz transportowych oraz dróg i parkingów.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1.4.2. Separator – urządzenie służące do czyszczenia wód opadowych lub roztopowych przed wprowadzeniem ich do odbiornika.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1.4.3. Separator substancji ropopochodnych – stosuje się do czyszczenia wód opadowych, rozto</w:t>
      </w:r>
      <w:r>
        <w:rPr>
          <w:rFonts w:ascii="Palatino Linotype" w:hAnsi="Palatino Linotype"/>
        </w:rPr>
        <w:t xml:space="preserve">powych </w:t>
      </w:r>
      <w:r w:rsidRPr="00690F38">
        <w:rPr>
          <w:rFonts w:ascii="Palatino Linotype" w:hAnsi="Palatino Linotype"/>
        </w:rPr>
        <w:t xml:space="preserve">i procesowych z terenów, które zagrożone są skażeniem substancjami ropopochodnymi.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lastRenderedPageBreak/>
        <w:t xml:space="preserve">1.4.4. Osadnik - urządzenie służące do usuwania zawiesin łatwo opadających. Umieszczany bezpośrednio przed separatorami jako pierwszy stopień oczyszczania.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1.4.5. Piaskownik – urządzenie zatrzymujące cięższe zanieczyszczenia ziarniste takie jak: piasek, żwir, muły węglowe.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1.4.6. Czyszczenie urządzenia podczyszczającego - usuwanie naniesionego materiału zanieczyszczającego, utrudniającego prawidłowe funkcjonowanie urządzenia.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1.5. Wymagania ogólne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1.5.1. Od wykonawcy usługi wymaga się posiadania uregulowanego stanu formalnoprawnego:  – w zakresie wytwarzania od</w:t>
      </w:r>
      <w:r w:rsidR="00047E28">
        <w:rPr>
          <w:rFonts w:ascii="Palatino Linotype" w:hAnsi="Palatino Linotype"/>
        </w:rPr>
        <w:t xml:space="preserve">padów,  – w zakresie transportu </w:t>
      </w:r>
      <w:r w:rsidRPr="00690F38">
        <w:rPr>
          <w:rFonts w:ascii="Palatino Linotype" w:hAnsi="Palatino Linotype"/>
        </w:rPr>
        <w:t xml:space="preserve">odpadów, w przypadku prowadzenia działalności polegającej na transporcie odpadów,  – w zakresie odzysku lub unieszkodliwienia odpadów, jeśli wykonawca sam dokonuje odzysku lub unieszkodliwienia wytworzonych przez siebie odpadów,  zgodnie z wymaganiami ustawy o odpadach </w:t>
      </w:r>
      <w:r w:rsidR="00011761">
        <w:rPr>
          <w:rFonts w:ascii="Palatino Linotype" w:hAnsi="Palatino Linotype"/>
        </w:rPr>
        <w:t xml:space="preserve"> </w:t>
      </w:r>
      <w:r w:rsidR="000A658F">
        <w:rPr>
          <w:rFonts w:ascii="Palatino Linotype" w:hAnsi="Palatino Linotype"/>
        </w:rPr>
        <w:t>(tj.</w:t>
      </w:r>
      <w:r w:rsidRPr="00690F38">
        <w:rPr>
          <w:rFonts w:ascii="Palatino Linotype" w:hAnsi="Palatino Linotype"/>
        </w:rPr>
        <w:t xml:space="preserve"> Dz. U. </w:t>
      </w:r>
      <w:r>
        <w:rPr>
          <w:rFonts w:ascii="Palatino Linotype" w:hAnsi="Palatino Linotype"/>
        </w:rPr>
        <w:t xml:space="preserve">z </w:t>
      </w:r>
      <w:r w:rsidR="000A658F">
        <w:rPr>
          <w:rFonts w:ascii="Palatino Linotype" w:hAnsi="Palatino Linotype"/>
        </w:rPr>
        <w:t xml:space="preserve">2018 r. poz. 992 z </w:t>
      </w:r>
      <w:proofErr w:type="spellStart"/>
      <w:r w:rsidR="000A658F">
        <w:rPr>
          <w:rFonts w:ascii="Palatino Linotype" w:hAnsi="Palatino Linotype"/>
        </w:rPr>
        <w:t>póżn</w:t>
      </w:r>
      <w:proofErr w:type="spellEnd"/>
      <w:r w:rsidR="000A658F">
        <w:rPr>
          <w:rFonts w:ascii="Palatino Linotype" w:hAnsi="Palatino Linotype"/>
        </w:rPr>
        <w:t>. Zm.</w:t>
      </w:r>
      <w:r w:rsidRPr="00690F38">
        <w:rPr>
          <w:rFonts w:ascii="Palatino Linotype" w:hAnsi="Palatino Linotype"/>
        </w:rPr>
        <w:t xml:space="preserve">).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1.5.2. Ze względu na charakter usługi, prace muszą być prowadzone zgodnie przepisami BHP, przepisami Prawa o ruchu drogowym, tak w zakresie oznakowania jak i wykonywania poszczególnych czynności roboczych oraz stosowania środków ochrony osobistej i ostrzegawczej przez osoby wykonujące te czynności.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1.5.3. Prace należy zorganizować i prowadzić w sposób zapewniający jak najmniejsze utrudnienia w ruchu pojazdów na drodze. W tym celu konieczne jest uzyskanie odpowiedniego zezwolenia na zajęcie pasa drogowego. Wykonawca ponosi odpowiedzialność za ewentualne szkody wyrządzone uczestnikom ruchu drogowego oraz osobom trzecim powstał</w:t>
      </w:r>
      <w:r>
        <w:rPr>
          <w:rFonts w:ascii="Palatino Linotype" w:hAnsi="Palatino Linotype"/>
        </w:rPr>
        <w:t xml:space="preserve">e wskutek prowadzenia usługi.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2. MATERIAŁY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Nie występują.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3. SPRZĘT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Usługę wykonać można przy użyciu następującego sprzętu: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wciągarki,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zbiorniki na wodę,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myjki wysokociśnieniowe,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pompy i agregaty wysokociśnieniowe,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pojazdy próżniowo-ssące,  </w:t>
      </w:r>
    </w:p>
    <w:p w:rsidR="00871F86" w:rsidRP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lastRenderedPageBreak/>
        <w:t>– pojazdy specjalistyczne do transportu odpadów niebezpiec</w:t>
      </w:r>
      <w:r>
        <w:rPr>
          <w:rFonts w:ascii="Palatino Linotype" w:hAnsi="Palatino Linotype"/>
        </w:rPr>
        <w:t xml:space="preserve">znych.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4. TRANSPORT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Załadunek i transport uzyskanych w wyniku czyszczenia urządzeń odpadów winien odbywać </w:t>
      </w:r>
      <w:r>
        <w:rPr>
          <w:rFonts w:ascii="Palatino Linotype" w:hAnsi="Palatino Linotype"/>
        </w:rPr>
        <w:t xml:space="preserve">się </w:t>
      </w:r>
      <w:r w:rsidRPr="00690F38">
        <w:rPr>
          <w:rFonts w:ascii="Palatino Linotype" w:hAnsi="Palatino Linotype"/>
        </w:rPr>
        <w:t>z zachowaniem przepisów dotyczących BHP, p.poż. i przewoz</w:t>
      </w:r>
      <w:r>
        <w:rPr>
          <w:rFonts w:ascii="Palatino Linotype" w:hAnsi="Palatino Linotype"/>
        </w:rPr>
        <w:t xml:space="preserve">u materiałów niebezpiecznych.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5. WYKONANIE USŁUGI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5.1. Czyszczenie urządzeń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usunięcie zgromadzonych związków ropopochodnych i wody w separatorze,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oczyszczenie wkładu </w:t>
      </w:r>
      <w:proofErr w:type="spellStart"/>
      <w:r w:rsidRPr="00690F38">
        <w:rPr>
          <w:rFonts w:ascii="Palatino Linotype" w:hAnsi="Palatino Linotype"/>
        </w:rPr>
        <w:t>koalescencyjnego</w:t>
      </w:r>
      <w:proofErr w:type="spellEnd"/>
      <w:r w:rsidRPr="00690F38">
        <w:rPr>
          <w:rFonts w:ascii="Palatino Linotype" w:hAnsi="Palatino Linotype"/>
        </w:rPr>
        <w:t xml:space="preserve">, sekcji </w:t>
      </w:r>
      <w:proofErr w:type="spellStart"/>
      <w:r w:rsidRPr="00690F38">
        <w:rPr>
          <w:rFonts w:ascii="Palatino Linotype" w:hAnsi="Palatino Linotype"/>
        </w:rPr>
        <w:t>lamelowej</w:t>
      </w:r>
      <w:proofErr w:type="spellEnd"/>
      <w:r w:rsidRPr="00690F38">
        <w:rPr>
          <w:rFonts w:ascii="Palatino Linotype" w:hAnsi="Palatino Linotype"/>
        </w:rPr>
        <w:t xml:space="preserve"> lub żaluzji (w zależności od typu separatora)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usunięcie osadu z komory osadowej separatora,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dokładne mycie komór separatora,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– usunięcie piasku i szlamu z osadnika/piaskownika,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dokładne umycie ścian i dna osadnika /piaskownika, </w:t>
      </w:r>
    </w:p>
    <w:p w:rsidR="00690F38" w:rsidRDefault="00047E28" w:rsidP="00047E28">
      <w:pPr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– </w:t>
      </w:r>
      <w:r w:rsidR="00690F38" w:rsidRPr="00690F38">
        <w:rPr>
          <w:rFonts w:ascii="Palatino Linotype" w:hAnsi="Palatino Linotype"/>
        </w:rPr>
        <w:t xml:space="preserve">wykonanie niezbędnych prac konserwacyjnych, w tym usunięcie ewentualnych </w:t>
      </w:r>
      <w:r>
        <w:rPr>
          <w:rFonts w:ascii="Palatino Linotype" w:hAnsi="Palatino Linotype"/>
        </w:rPr>
        <w:t xml:space="preserve"> </w:t>
      </w:r>
      <w:r w:rsidR="00690F38" w:rsidRPr="00690F38">
        <w:rPr>
          <w:rFonts w:ascii="Palatino Linotype" w:hAnsi="Palatino Linotype"/>
        </w:rPr>
        <w:t xml:space="preserve">nieszczelności, oczyszczenie dopływu i odpływu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– napełnienie urządzenia wo</w:t>
      </w:r>
      <w:r>
        <w:rPr>
          <w:rFonts w:ascii="Palatino Linotype" w:hAnsi="Palatino Linotype"/>
        </w:rPr>
        <w:t xml:space="preserve">dą aż do przelewu na wylocie.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  <w:b/>
        </w:rPr>
        <w:t>5.2. Przegląd eksploatacyjny</w:t>
      </w:r>
      <w:r w:rsidRPr="00690F38">
        <w:rPr>
          <w:rFonts w:ascii="Palatino Linotype" w:hAnsi="Palatino Linotype"/>
        </w:rPr>
        <w:t xml:space="preserve">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Przegląd eksploatacyjny oceniający – wykonywany dla określenia stopnia zanieczyszczenia i konieczności wykonania czyszczenia.  Przegląd eksploatacyjny techniczny – wykonywany podczas prac czyszczenia urządzenia, oceniający stan techniczny urządzenia oraz potrzebę wykonania ewentualnych drobnych napraw.  Z dokonanego przeglądu spisany zostanie protokół, określający typ urządzenia, stopień jego zanieczyszczenia odpadami, ocenę stanu technicznego danego urządzenia oraz z zapisu którego będzie wynikać, czy urządzenie jest sprawne technicznie, lub ewentualnie podane zostaną zalecenia w celu </w:t>
      </w:r>
      <w:r>
        <w:rPr>
          <w:rFonts w:ascii="Palatino Linotype" w:hAnsi="Palatino Linotype"/>
        </w:rPr>
        <w:t xml:space="preserve">przywrócenia jego sprawności.  </w:t>
      </w:r>
    </w:p>
    <w:p w:rsidR="00120BD1" w:rsidRPr="00690F38" w:rsidRDefault="00120BD1" w:rsidP="00690F38">
      <w:pPr>
        <w:spacing w:after="0" w:line="360" w:lineRule="auto"/>
        <w:jc w:val="both"/>
        <w:rPr>
          <w:rFonts w:ascii="Palatino Linotype" w:hAnsi="Palatino Linotype"/>
        </w:rPr>
      </w:pP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5.3. Odbiór, transport i unieszkodliwienie odpadów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Odbioru i przewozu powstałych w wyniku czyszczenia odpadów dokonuje się za pomocą specjalistycznych pojazdów.  Unieszkodliwienia odpadów należy dokonać w zakładach utylizacji i unieszkodliwiania odpadów, zgodnie z wymaganiami przepisów o odpadach. </w:t>
      </w:r>
      <w:r>
        <w:rPr>
          <w:rFonts w:ascii="Palatino Linotype" w:hAnsi="Palatino Linotype"/>
        </w:rPr>
        <w:t xml:space="preserve">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lastRenderedPageBreak/>
        <w:t xml:space="preserve">5.4. Wpis do książki eksploatacji urządzenia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Wszystkie czynności prowadzone w urządzeniach (czyszczenia i przeglądy) zostaną przez wykonawcę usługi odnotowane w „Ksią</w:t>
      </w:r>
      <w:r>
        <w:rPr>
          <w:rFonts w:ascii="Palatino Linotype" w:hAnsi="Palatino Linotype"/>
        </w:rPr>
        <w:t xml:space="preserve">żce eksploatacji urządzenia”.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  <w:b/>
        </w:rPr>
        <w:t>6. JEDNOSTKA OBIAROWA</w:t>
      </w:r>
      <w:r w:rsidRPr="00690F38">
        <w:rPr>
          <w:rFonts w:ascii="Palatino Linotype" w:hAnsi="Palatino Linotype"/>
        </w:rPr>
        <w:t xml:space="preserve">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Jednostką obmiarową jest - szt. (sztuka) oczyszczonego urządzenia podczyszczającego wraz z przeglądem eksploatacyjnym urządzenia, odbiorem, transportem i unieszkodliwieniem odpadów oraz dokonaniem wpisu do ksi</w:t>
      </w:r>
      <w:r>
        <w:rPr>
          <w:rFonts w:ascii="Palatino Linotype" w:hAnsi="Palatino Linotype"/>
        </w:rPr>
        <w:t xml:space="preserve">ążki eksploatacji urządzenia.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  <w:b/>
        </w:rPr>
        <w:t>7. ODBIÓR USLUGI</w:t>
      </w:r>
      <w:r w:rsidRPr="00690F38">
        <w:rPr>
          <w:rFonts w:ascii="Palatino Linotype" w:hAnsi="Palatino Linotype"/>
        </w:rPr>
        <w:t xml:space="preserve">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 Protokół odbioru wykonania usługi spisany zostanie w obecności przedstawiciela Wykonawc</w:t>
      </w:r>
      <w:r>
        <w:rPr>
          <w:rFonts w:ascii="Palatino Linotype" w:hAnsi="Palatino Linotype"/>
        </w:rPr>
        <w:t xml:space="preserve">y </w:t>
      </w:r>
      <w:r w:rsidRPr="00690F38">
        <w:rPr>
          <w:rFonts w:ascii="Palatino Linotype" w:hAnsi="Palatino Linotype"/>
        </w:rPr>
        <w:t xml:space="preserve">i Zamawiającego.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2. Warunkiem podpisania protokołu odbioru wykonania usługi jest przekazanie Zamawiającemu dokumentu potwierdzającego sposób gospodarowania wytworzonymi </w:t>
      </w:r>
      <w:r w:rsidR="001058B6">
        <w:rPr>
          <w:rFonts w:ascii="Palatino Linotype" w:hAnsi="Palatino Linotype"/>
        </w:rPr>
        <w:t xml:space="preserve">               </w:t>
      </w:r>
      <w:r w:rsidRPr="00690F38">
        <w:rPr>
          <w:rFonts w:ascii="Palatino Linotype" w:hAnsi="Palatino Linotype"/>
        </w:rPr>
        <w:t>w wyniku realizacji usługi odpa</w:t>
      </w:r>
      <w:r w:rsidR="001058B6">
        <w:rPr>
          <w:rFonts w:ascii="Palatino Linotype" w:hAnsi="Palatino Linotype"/>
        </w:rPr>
        <w:t>dami (Karta przekazania odpadu)</w:t>
      </w:r>
      <w:r w:rsidRPr="00690F38">
        <w:rPr>
          <w:rFonts w:ascii="Palatino Linotype" w:hAnsi="Palatino Linotype"/>
        </w:rPr>
        <w:t>, wypełnionych Książek Eksploatacji Urządze</w:t>
      </w:r>
      <w:r>
        <w:rPr>
          <w:rFonts w:ascii="Palatino Linotype" w:hAnsi="Palatino Linotype"/>
        </w:rPr>
        <w:t xml:space="preserve">ń oraz materiału zdjęciowego.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8. PODSTAWA PŁATNOŚCI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Cena jednostki obmiarowej (1 szt. oczyszczonego urządzenia) obejmuje: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oznakowanie miejsca wykonania usługi,  </w:t>
      </w:r>
    </w:p>
    <w:p w:rsidR="00120BD1" w:rsidRDefault="00120BD1" w:rsidP="00690F38">
      <w:pPr>
        <w:spacing w:after="0" w:line="360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– </w:t>
      </w:r>
      <w:r w:rsidR="00690F38" w:rsidRPr="00690F38">
        <w:rPr>
          <w:rFonts w:ascii="Palatino Linotype" w:hAnsi="Palatino Linotype"/>
        </w:rPr>
        <w:t xml:space="preserve">dostawę i pracę sprzętu,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oczyszczenie urządzenia,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wykonania przeglądu eksploatacyjnego urządzenia,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dokonanie wpisu do Książki Eksploatacji Urządzenia,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– sporządzenie dokumentacji z przeprowadzonych prac (</w:t>
      </w:r>
      <w:r w:rsidR="001058B6">
        <w:rPr>
          <w:rFonts w:ascii="Palatino Linotype" w:hAnsi="Palatino Linotype"/>
        </w:rPr>
        <w:t>dokumentacja fotograficzna</w:t>
      </w:r>
      <w:r w:rsidR="00047E28">
        <w:rPr>
          <w:rFonts w:ascii="Palatino Linotype" w:hAnsi="Palatino Linotype"/>
        </w:rPr>
        <w:t xml:space="preserve"> przed czyszczeniem</w:t>
      </w:r>
      <w:r w:rsidRPr="00690F38">
        <w:rPr>
          <w:rFonts w:ascii="Palatino Linotype" w:hAnsi="Palatino Linotype"/>
        </w:rPr>
        <w:t xml:space="preserve"> i</w:t>
      </w:r>
      <w:r w:rsidR="00047E28">
        <w:rPr>
          <w:rFonts w:ascii="Palatino Linotype" w:hAnsi="Palatino Linotype"/>
        </w:rPr>
        <w:t xml:space="preserve"> po oczyszczeniu</w:t>
      </w:r>
      <w:r w:rsidR="001058B6">
        <w:rPr>
          <w:rFonts w:ascii="Palatino Linotype" w:hAnsi="Palatino Linotype"/>
        </w:rPr>
        <w:t xml:space="preserve"> każdego urządzenia</w:t>
      </w:r>
      <w:r w:rsidR="00047E28">
        <w:rPr>
          <w:rFonts w:ascii="Palatino Linotype" w:hAnsi="Palatino Linotype"/>
        </w:rPr>
        <w:t xml:space="preserve"> oraz</w:t>
      </w:r>
      <w:r w:rsidRPr="00690F38">
        <w:rPr>
          <w:rFonts w:ascii="Palatino Linotype" w:hAnsi="Palatino Linotype"/>
        </w:rPr>
        <w:t xml:space="preserve"> protokoły), 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– odbiór, transport i unieszkodliwienie odpadów</w:t>
      </w:r>
      <w:r w:rsidR="001058B6">
        <w:rPr>
          <w:rFonts w:ascii="Palatino Linotype" w:hAnsi="Palatino Linotype"/>
        </w:rPr>
        <w:t xml:space="preserve"> (karta przekazania odpadów</w:t>
      </w:r>
      <w:r w:rsidR="001058B6" w:rsidRPr="001058B6">
        <w:rPr>
          <w:rFonts w:ascii="Palatino Linotype" w:hAnsi="Palatino Linotype"/>
        </w:rPr>
        <w:t>)</w:t>
      </w:r>
      <w:r w:rsidRPr="001058B6">
        <w:rPr>
          <w:rFonts w:ascii="Palatino Linotype" w:hAnsi="Palatino Linotype"/>
        </w:rPr>
        <w:t>,</w:t>
      </w:r>
      <w:r w:rsidRPr="00690F38">
        <w:rPr>
          <w:rFonts w:ascii="Palatino Linotype" w:hAnsi="Palatino Linotype"/>
        </w:rPr>
        <w:t xml:space="preserve"> </w:t>
      </w:r>
    </w:p>
    <w:p w:rsidR="00120BD1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– odtransportowanie sprzętu z miejsca wykonywania usługi,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– uporządkowanie terenu w</w:t>
      </w:r>
      <w:r>
        <w:rPr>
          <w:rFonts w:ascii="Palatino Linotype" w:hAnsi="Palatino Linotype"/>
        </w:rPr>
        <w:t xml:space="preserve">okół czyszczonego urządzenia.  </w:t>
      </w:r>
      <w:r w:rsidRPr="00690F38">
        <w:rPr>
          <w:rFonts w:ascii="Palatino Linotype" w:hAnsi="Palatino Linotype"/>
        </w:rPr>
        <w:t xml:space="preserve">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  <w:b/>
        </w:rPr>
      </w:pPr>
      <w:r w:rsidRPr="00690F38">
        <w:rPr>
          <w:rFonts w:ascii="Palatino Linotype" w:hAnsi="Palatino Linotype"/>
          <w:b/>
        </w:rPr>
        <w:t xml:space="preserve">9. PRZEPISY ZWIĄZANE 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1. Ustawa z dnia 14 grudnia 2012 r. o odpadach (</w:t>
      </w:r>
      <w:r w:rsidR="00066116">
        <w:rPr>
          <w:rFonts w:ascii="Palatino Linotype" w:hAnsi="Palatino Linotype"/>
        </w:rPr>
        <w:t xml:space="preserve">tj. </w:t>
      </w:r>
      <w:bookmarkStart w:id="0" w:name="_GoBack"/>
      <w:bookmarkEnd w:id="0"/>
      <w:r w:rsidRPr="00690F38">
        <w:rPr>
          <w:rFonts w:ascii="Palatino Linotype" w:hAnsi="Palatino Linotype"/>
        </w:rPr>
        <w:t xml:space="preserve">Dz. U. z 2013 r., poz. 21 z </w:t>
      </w:r>
      <w:proofErr w:type="spellStart"/>
      <w:r w:rsidRPr="00690F38">
        <w:rPr>
          <w:rFonts w:ascii="Palatino Linotype" w:hAnsi="Palatino Linotype"/>
        </w:rPr>
        <w:t>póżn</w:t>
      </w:r>
      <w:proofErr w:type="spellEnd"/>
      <w:r w:rsidRPr="00690F38">
        <w:rPr>
          <w:rFonts w:ascii="Palatino Linotype" w:hAnsi="Palatino Linotype"/>
        </w:rPr>
        <w:t xml:space="preserve">. zm.),  </w:t>
      </w:r>
    </w:p>
    <w:p w:rsidR="000A658F" w:rsidRDefault="00690F38" w:rsidP="00047E28">
      <w:pPr>
        <w:spacing w:after="0" w:line="360" w:lineRule="auto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>2. Ustawa z dnia 27 kwietnia 2001 r. Prawo ochrony środowiska (</w:t>
      </w:r>
      <w:r w:rsidR="000A658F">
        <w:rPr>
          <w:rFonts w:ascii="Palatino Linotype" w:hAnsi="Palatino Linotype"/>
        </w:rPr>
        <w:t xml:space="preserve">tj. </w:t>
      </w:r>
      <w:r w:rsidRPr="00690F38">
        <w:rPr>
          <w:rFonts w:ascii="Palatino Linotype" w:hAnsi="Palatino Linotype"/>
        </w:rPr>
        <w:t>D</w:t>
      </w:r>
      <w:r w:rsidR="00047E28">
        <w:rPr>
          <w:rFonts w:ascii="Palatino Linotype" w:hAnsi="Palatino Linotype"/>
        </w:rPr>
        <w:t>z. U. z 201</w:t>
      </w:r>
      <w:r w:rsidR="000A658F">
        <w:rPr>
          <w:rFonts w:ascii="Palatino Linotype" w:hAnsi="Palatino Linotype"/>
        </w:rPr>
        <w:t>8</w:t>
      </w:r>
      <w:r w:rsidR="00047E28">
        <w:rPr>
          <w:rFonts w:ascii="Palatino Linotype" w:hAnsi="Palatino Linotype"/>
        </w:rPr>
        <w:t xml:space="preserve"> r. poz.</w:t>
      </w:r>
      <w:r w:rsidR="000A658F">
        <w:rPr>
          <w:rFonts w:ascii="Palatino Linotype" w:hAnsi="Palatino Linotype"/>
        </w:rPr>
        <w:t xml:space="preserve"> 799</w:t>
      </w:r>
      <w:r w:rsidR="00047E28">
        <w:rPr>
          <w:rFonts w:ascii="Palatino Linotype" w:hAnsi="Palatino Linotype"/>
        </w:rPr>
        <w:t xml:space="preserve"> </w:t>
      </w:r>
      <w:r w:rsidR="000A658F">
        <w:rPr>
          <w:rFonts w:ascii="Palatino Linotype" w:hAnsi="Palatino Linotype"/>
        </w:rPr>
        <w:t xml:space="preserve">z </w:t>
      </w:r>
      <w:proofErr w:type="spellStart"/>
      <w:r w:rsidR="000A658F">
        <w:rPr>
          <w:rFonts w:ascii="Palatino Linotype" w:hAnsi="Palatino Linotype"/>
        </w:rPr>
        <w:t>póżn</w:t>
      </w:r>
      <w:proofErr w:type="spellEnd"/>
      <w:r w:rsidR="000A658F">
        <w:rPr>
          <w:rFonts w:ascii="Palatino Linotype" w:hAnsi="Palatino Linotype"/>
        </w:rPr>
        <w:t>. zm.</w:t>
      </w:r>
      <w:r w:rsidR="00047E28">
        <w:rPr>
          <w:rFonts w:ascii="Palatino Linotype" w:hAnsi="Palatino Linotype"/>
        </w:rPr>
        <w:t xml:space="preserve">),  </w:t>
      </w:r>
    </w:p>
    <w:p w:rsidR="00690F38" w:rsidRDefault="00047E28" w:rsidP="00047E28">
      <w:pPr>
        <w:spacing w:after="0" w:line="36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 xml:space="preserve">3. </w:t>
      </w:r>
      <w:r w:rsidR="00690F38" w:rsidRPr="00690F38">
        <w:rPr>
          <w:rFonts w:ascii="Palatino Linotype" w:hAnsi="Palatino Linotype"/>
        </w:rPr>
        <w:t>Rozporządzen</w:t>
      </w:r>
      <w:r w:rsidR="00011761">
        <w:rPr>
          <w:rFonts w:ascii="Palatino Linotype" w:hAnsi="Palatino Linotype"/>
        </w:rPr>
        <w:t>ie Ministra Środowiska z dnia 9 grudnia 2014</w:t>
      </w:r>
      <w:r w:rsidR="00690F38" w:rsidRPr="00690F38">
        <w:rPr>
          <w:rFonts w:ascii="Palatino Linotype" w:hAnsi="Palatino Linotype"/>
        </w:rPr>
        <w:t xml:space="preserve"> r. w sprawie katalog</w:t>
      </w:r>
      <w:r w:rsidR="00AB2054">
        <w:rPr>
          <w:rFonts w:ascii="Palatino Linotype" w:hAnsi="Palatino Linotype"/>
        </w:rPr>
        <w:t xml:space="preserve">u </w:t>
      </w:r>
      <w:r w:rsidR="00690F38">
        <w:rPr>
          <w:rFonts w:ascii="Palatino Linotype" w:hAnsi="Palatino Linotype"/>
        </w:rPr>
        <w:t xml:space="preserve">odpadów (Dz. U. </w:t>
      </w:r>
      <w:r w:rsidR="00011761">
        <w:rPr>
          <w:rFonts w:ascii="Palatino Linotype" w:hAnsi="Palatino Linotype"/>
        </w:rPr>
        <w:t>z 2014 r. poz. 1923</w:t>
      </w:r>
      <w:r w:rsidR="00690F38" w:rsidRPr="00690F38">
        <w:rPr>
          <w:rFonts w:ascii="Palatino Linotype" w:hAnsi="Palatino Linotype"/>
        </w:rPr>
        <w:t>)</w:t>
      </w:r>
      <w:r w:rsidR="00011761">
        <w:rPr>
          <w:rFonts w:ascii="Palatino Linotype" w:hAnsi="Palatino Linotype"/>
        </w:rPr>
        <w:t>,</w:t>
      </w:r>
      <w:r w:rsidR="00690F38" w:rsidRPr="00690F38">
        <w:rPr>
          <w:rFonts w:ascii="Palatino Linotype" w:hAnsi="Palatino Linotype"/>
        </w:rPr>
        <w:t xml:space="preserve"> </w:t>
      </w:r>
    </w:p>
    <w:p w:rsid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4. Rozporządzenie Ministra Środowiska z dnia 12 grudnia 2014 r. w sprawie wzorów dokumentów stosowanych na potrzeby ewidencji odpadów (Dz. U. z 2014 r., poz. 1973)  </w:t>
      </w:r>
    </w:p>
    <w:p w:rsidR="00690F38" w:rsidRPr="00690F38" w:rsidRDefault="00690F38" w:rsidP="00690F38">
      <w:pPr>
        <w:spacing w:after="0" w:line="360" w:lineRule="auto"/>
        <w:jc w:val="both"/>
        <w:rPr>
          <w:rFonts w:ascii="Palatino Linotype" w:hAnsi="Palatino Linotype"/>
        </w:rPr>
      </w:pPr>
      <w:r w:rsidRPr="00690F38">
        <w:rPr>
          <w:rFonts w:ascii="Palatino Linotype" w:hAnsi="Palatino Linotype"/>
        </w:rPr>
        <w:t xml:space="preserve">5. Rozporządzenie Ministra Środowiska z dnia 18 listopada 2014 r. w sprawie warunków, jakie należy spełnić przy wprowadzaniu ścieków do wód lub do ziemi, oraz w sprawie substancji szkodliwych dla środowiska wodnego (Dz. U. z 2014 r., poz. 1800)  </w:t>
      </w:r>
    </w:p>
    <w:p w:rsidR="00491A5B" w:rsidRPr="00690F38" w:rsidRDefault="00491A5B" w:rsidP="00690F38">
      <w:pPr>
        <w:spacing w:after="0" w:line="360" w:lineRule="auto"/>
        <w:jc w:val="both"/>
        <w:rPr>
          <w:rFonts w:ascii="Palatino Linotype" w:hAnsi="Palatino Linotype"/>
        </w:rPr>
      </w:pPr>
    </w:p>
    <w:sectPr w:rsidR="00491A5B" w:rsidRPr="0069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39B"/>
    <w:rsid w:val="00011761"/>
    <w:rsid w:val="00047E28"/>
    <w:rsid w:val="00066116"/>
    <w:rsid w:val="000A658F"/>
    <w:rsid w:val="001058B6"/>
    <w:rsid w:val="00120BD1"/>
    <w:rsid w:val="00491A5B"/>
    <w:rsid w:val="00690F38"/>
    <w:rsid w:val="007716A2"/>
    <w:rsid w:val="007D739B"/>
    <w:rsid w:val="00871F86"/>
    <w:rsid w:val="00AB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009F0-7B3A-4EBA-AED0-B97B2BF2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F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1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7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1100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Dziemiańczuk</dc:creator>
  <cp:lastModifiedBy>Damian Florczak</cp:lastModifiedBy>
  <cp:revision>10</cp:revision>
  <cp:lastPrinted>2019-04-08T05:20:00Z</cp:lastPrinted>
  <dcterms:created xsi:type="dcterms:W3CDTF">2018-03-26T07:35:00Z</dcterms:created>
  <dcterms:modified xsi:type="dcterms:W3CDTF">2019-04-10T12:00:00Z</dcterms:modified>
</cp:coreProperties>
</file>